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bCs/>
          <w:sz w:val="32"/>
          <w:szCs w:val="32"/>
        </w:rPr>
        <w:t>拟提名 2021 年度云南省科学技术奖励项目公示</w:t>
      </w:r>
    </w:p>
    <w:p>
      <w:pPr>
        <w:keepNext w:val="0"/>
        <w:keepLines w:val="0"/>
        <w:pageBreakBefore w:val="0"/>
        <w:kinsoku/>
        <w:wordWrap/>
        <w:overflowPunct/>
        <w:topLinePunct w:val="0"/>
        <w:autoSpaceDE/>
        <w:autoSpaceDN/>
        <w:bidi w:val="0"/>
        <w:adjustRightInd/>
        <w:snapToGrid w:val="0"/>
        <w:spacing w:before="156" w:beforeLines="50" w:line="560" w:lineRule="exact"/>
        <w:ind w:firstLine="562" w:firstLineChars="200"/>
        <w:textAlignment w:val="auto"/>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
          <w:bCs/>
          <w:sz w:val="28"/>
          <w:szCs w:val="28"/>
        </w:rPr>
        <w:t>一、</w:t>
      </w:r>
      <w:r>
        <w:rPr>
          <w:rFonts w:hint="eastAsia" w:asciiTheme="majorEastAsia" w:hAnsiTheme="majorEastAsia" w:eastAsiaTheme="majorEastAsia" w:cstheme="majorEastAsia"/>
          <w:b/>
          <w:sz w:val="28"/>
          <w:szCs w:val="28"/>
        </w:rPr>
        <w:t>项目名称：</w:t>
      </w:r>
      <w:bookmarkStart w:id="0" w:name="_Hlk69916662"/>
      <w:r>
        <w:rPr>
          <w:rFonts w:hint="eastAsia" w:asciiTheme="majorEastAsia" w:hAnsiTheme="majorEastAsia" w:eastAsiaTheme="majorEastAsia" w:cstheme="majorEastAsia"/>
          <w:bCs/>
          <w:sz w:val="28"/>
          <w:szCs w:val="28"/>
        </w:rPr>
        <w:t>植物激素赤霉素和茉莉酸调控开花时间的分子机制</w:t>
      </w:r>
    </w:p>
    <w:bookmarkEnd w:id="0"/>
    <w:p>
      <w:pPr>
        <w:keepNext w:val="0"/>
        <w:keepLines w:val="0"/>
        <w:pageBreakBefore w:val="0"/>
        <w:kinsoku/>
        <w:wordWrap/>
        <w:overflowPunct/>
        <w:topLinePunct w:val="0"/>
        <w:autoSpaceDE/>
        <w:autoSpaceDN/>
        <w:bidi w:val="0"/>
        <w:adjustRightInd/>
        <w:snapToGrid w:val="0"/>
        <w:spacing w:line="560" w:lineRule="exact"/>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sz w:val="28"/>
          <w:szCs w:val="28"/>
        </w:rPr>
        <w:t>二、</w:t>
      </w:r>
      <w:r>
        <w:rPr>
          <w:rFonts w:hint="eastAsia" w:asciiTheme="majorEastAsia" w:hAnsiTheme="majorEastAsia" w:eastAsiaTheme="majorEastAsia" w:cstheme="majorEastAsia"/>
          <w:b/>
          <w:bCs/>
          <w:sz w:val="28"/>
          <w:szCs w:val="28"/>
        </w:rPr>
        <w:t>提名者及提名意见</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提名者</w:t>
      </w:r>
      <w:r>
        <w:rPr>
          <w:rFonts w:hint="eastAsia" w:asciiTheme="majorEastAsia" w:hAnsiTheme="majorEastAsia" w:eastAsiaTheme="majorEastAsia" w:cstheme="majorEastAsia"/>
          <w:sz w:val="28"/>
          <w:szCs w:val="28"/>
        </w:rPr>
        <w:t>：中国科学院昆明分院</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b/>
          <w:sz w:val="28"/>
          <w:szCs w:val="28"/>
          <w:lang w:val="en-US" w:eastAsia="zh-CN"/>
        </w:rPr>
        <w:t>提名等级：</w:t>
      </w:r>
      <w:r>
        <w:rPr>
          <w:rFonts w:hint="eastAsia" w:asciiTheme="majorEastAsia" w:hAnsiTheme="majorEastAsia" w:eastAsiaTheme="majorEastAsia" w:cstheme="majorEastAsia"/>
          <w:sz w:val="28"/>
          <w:szCs w:val="28"/>
          <w:lang w:val="en-US" w:eastAsia="zh-CN"/>
        </w:rPr>
        <w:t>2021年度</w:t>
      </w:r>
      <w:r>
        <w:rPr>
          <w:rFonts w:hint="eastAsia" w:asciiTheme="majorEastAsia" w:hAnsiTheme="majorEastAsia" w:eastAsiaTheme="majorEastAsia" w:cstheme="majorEastAsia"/>
          <w:sz w:val="28"/>
          <w:szCs w:val="28"/>
        </w:rPr>
        <w:t>云南省自然科学奖二等奖</w:t>
      </w:r>
    </w:p>
    <w:p>
      <w:pPr>
        <w:keepNext w:val="0"/>
        <w:keepLines w:val="0"/>
        <w:pageBreakBefore w:val="0"/>
        <w:kinsoku/>
        <w:wordWrap/>
        <w:overflowPunct/>
        <w:topLinePunct w:val="0"/>
        <w:autoSpaceDE/>
        <w:autoSpaceDN/>
        <w:bidi w:val="0"/>
        <w:adjustRightInd/>
        <w:snapToGrid w:val="0"/>
        <w:spacing w:line="560" w:lineRule="exact"/>
        <w:ind w:firstLine="562"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提名意见：</w:t>
      </w:r>
      <w:r>
        <w:rPr>
          <w:rFonts w:hint="eastAsia" w:asciiTheme="majorEastAsia" w:hAnsiTheme="majorEastAsia" w:eastAsiaTheme="majorEastAsia" w:cstheme="majorEastAsia"/>
          <w:sz w:val="28"/>
          <w:szCs w:val="28"/>
        </w:rPr>
        <w:t xml:space="preserve"> </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该成果系统揭示了植物激素赤霉素和茉莉酸通过下游信号控制植物开花时间的分子生物</w:t>
      </w:r>
      <w:r>
        <w:rPr>
          <w:rFonts w:hint="eastAsia" w:asciiTheme="majorEastAsia" w:hAnsiTheme="majorEastAsia" w:eastAsiaTheme="majorEastAsia" w:cstheme="majorEastAsia"/>
          <w:sz w:val="28"/>
          <w:szCs w:val="28"/>
          <w:highlight w:val="none"/>
        </w:rPr>
        <w:t>学</w:t>
      </w:r>
      <w:r>
        <w:rPr>
          <w:rFonts w:hint="eastAsia" w:asciiTheme="majorEastAsia" w:hAnsiTheme="majorEastAsia" w:eastAsiaTheme="majorEastAsia" w:cstheme="majorEastAsia"/>
          <w:sz w:val="28"/>
          <w:szCs w:val="28"/>
        </w:rPr>
        <w:t>机制。发现赤霉素途径的抑制子DELLA蛋白直接抑制CO、WRKY12、WRKY13、WRKY75、bHLH48和bHLH60等转录调控因子的转录功能，从而促进植物开花诱导的机制；阐明植物激素茉莉酸通过其激活的转录调控因子MYC2/3/4调控植物开花诱导的分子机理。该成果在Molecular Plant（2篇）、Plant Physiology（2篇），Journal of Experimental Botany杂志共发表5篇论文，其中2篇文章入选过Web of Science公布的领域内高被引论文；2篇论文入选“2017年和2018年中国植物学若干领域重要研究进展”。论文累计影响因子43.88 ，单篇最高影响因子12.084，平均影响因子8.776，引用共计231次，他引205次(其中SCI他引159次)，成果第一完成人连续两年获得Web of Science公布的全球高被引学者。培养博士生4名，硕士生3名，其中1人获得中国科学院百篇优秀博士学位论文奖，1人获得云南省优秀博士学位论文，1人获得中国科学院院长优秀奖；2人晋升为研究员，2人晋升为副研究员；1 人入选云南省“云岭学者”、3人入选中国科学院“青年创新促进会”、2人入选中国科协 “青年人才托举工程”计划、3人入选云南省万人计划“青年拔尖人才。综上所述，该成果系统地揭示</w:t>
      </w:r>
      <w:r>
        <w:rPr>
          <w:rFonts w:hint="eastAsia" w:asciiTheme="majorEastAsia" w:hAnsiTheme="majorEastAsia" w:eastAsiaTheme="majorEastAsia" w:cstheme="majorEastAsia"/>
          <w:sz w:val="28"/>
          <w:szCs w:val="28"/>
          <w:highlight w:val="none"/>
        </w:rPr>
        <w:t>了</w:t>
      </w:r>
      <w:r>
        <w:rPr>
          <w:rFonts w:hint="eastAsia" w:asciiTheme="majorEastAsia" w:hAnsiTheme="majorEastAsia" w:eastAsiaTheme="majorEastAsia" w:cstheme="majorEastAsia"/>
          <w:sz w:val="28"/>
          <w:szCs w:val="28"/>
        </w:rPr>
        <w:t>植物激素赤霉素和茉莉酸调控开花时间的分子机制，具有较强的理论创新意义及潜在的应用价值，并培养了一批优秀的科研人员。</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val="en-US" w:eastAsia="zh-CN"/>
        </w:rPr>
        <w:t>同意</w:t>
      </w:r>
      <w:r>
        <w:rPr>
          <w:rFonts w:hint="eastAsia" w:asciiTheme="majorEastAsia" w:hAnsiTheme="majorEastAsia" w:eastAsiaTheme="majorEastAsia" w:cstheme="majorEastAsia"/>
          <w:sz w:val="28"/>
          <w:szCs w:val="28"/>
        </w:rPr>
        <w:t>该成果提名</w:t>
      </w:r>
      <w:r>
        <w:rPr>
          <w:rFonts w:hint="eastAsia" w:asciiTheme="majorEastAsia" w:hAnsiTheme="majorEastAsia" w:eastAsiaTheme="majorEastAsia" w:cstheme="majorEastAsia"/>
          <w:sz w:val="28"/>
          <w:szCs w:val="28"/>
          <w:lang w:val="en-US" w:eastAsia="zh-CN"/>
        </w:rPr>
        <w:t>申报2021年度</w:t>
      </w:r>
      <w:r>
        <w:rPr>
          <w:rFonts w:hint="eastAsia" w:asciiTheme="majorEastAsia" w:hAnsiTheme="majorEastAsia" w:eastAsiaTheme="majorEastAsia" w:cstheme="majorEastAsia"/>
          <w:sz w:val="28"/>
          <w:szCs w:val="28"/>
        </w:rPr>
        <w:t>云南省自然科学奖二等奖。</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color w:val="333333"/>
          <w:sz w:val="28"/>
          <w:szCs w:val="28"/>
        </w:rPr>
      </w:pPr>
      <w:r>
        <w:rPr>
          <w:rFonts w:hint="eastAsia" w:asciiTheme="majorEastAsia" w:hAnsiTheme="majorEastAsia" w:eastAsiaTheme="majorEastAsia" w:cstheme="majorEastAsia"/>
          <w:b/>
          <w:kern w:val="2"/>
          <w:sz w:val="28"/>
          <w:szCs w:val="28"/>
        </w:rPr>
        <w:t>三、项目简介</w:t>
      </w:r>
    </w:p>
    <w:p>
      <w:pPr>
        <w:pStyle w:val="3"/>
        <w:keepNext w:val="0"/>
        <w:keepLines w:val="0"/>
        <w:pageBreakBefore w:val="0"/>
        <w:kinsoku/>
        <w:wordWrap/>
        <w:overflowPunct/>
        <w:topLinePunct w:val="0"/>
        <w:autoSpaceDE/>
        <w:autoSpaceDN/>
        <w:bidi w:val="0"/>
        <w:adjustRightInd/>
        <w:snapToGrid w:val="0"/>
        <w:spacing w:line="560" w:lineRule="exact"/>
        <w:ind w:firstLineChars="0"/>
        <w:textAlignment w:val="auto"/>
        <w:outlineLvl w:val="1"/>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该成果系统研究了植物激素赤霉素和茉莉酸通过下游信号控制植物开花时间的分子生物学机制。主要研究结果及创新点如下：</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1）系统揭示赤霉素信号途径下游转录因子调控植物开花诱导的分子机理。赤霉素信号途径是调控植物开花诱导的六大重要信号通路之一；然而，对赤霉素调控植物开花诱导信号网络的研究却十分有限。我们的研究证实:在非诱导的短日照条件下，WRKY转录调控因子家族成员WRKY12 和WRKY13 通过与DELLA 蛋白相互作用，参与调控赤霉素介导的植物开花诱导过程，相关成果发表在Molecular Plant上。而在长日照条件下，赤霉素途径的抑制子DELLA蛋白能直接抑制CO、WRKY75、bHLH48和bHLH60等转录调控因子对成花素基因FT的转录功能，从而协同调控植物的开花诱导，相关研究成果发表在Plant Physiology, Journal of Experimental Botany杂志。以上研究完善了赤霉素调控植物开花诱导的信号网络，有助于加深人们对植物激素调控开花过程的理解。</w:t>
      </w:r>
    </w:p>
    <w:p>
      <w:pPr>
        <w:keepNext w:val="0"/>
        <w:keepLines w:val="0"/>
        <w:pageBreakBefore w:val="0"/>
        <w:kinsoku/>
        <w:wordWrap/>
        <w:overflowPunct/>
        <w:topLinePunct w:val="0"/>
        <w:autoSpaceDE/>
        <w:autoSpaceDN/>
        <w:bidi w:val="0"/>
        <w:adjustRightInd/>
        <w:snapToGrid w:val="0"/>
        <w:spacing w:line="560" w:lineRule="exact"/>
        <w:ind w:firstLine="560" w:firstLineChars="20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（2）</w:t>
      </w:r>
      <w:bookmarkStart w:id="1" w:name="_Hlk70241096"/>
      <w:r>
        <w:rPr>
          <w:rFonts w:hint="eastAsia" w:asciiTheme="majorEastAsia" w:hAnsiTheme="majorEastAsia" w:eastAsiaTheme="majorEastAsia" w:cstheme="majorEastAsia"/>
          <w:sz w:val="28"/>
          <w:szCs w:val="28"/>
        </w:rPr>
        <w:t>揭示植物激素茉莉酸通过其激活的转录调控因子MYC2/3/4调控植物开花诱导的分子机理。</w:t>
      </w:r>
      <w:bookmarkEnd w:id="1"/>
      <w:r>
        <w:rPr>
          <w:rFonts w:hint="eastAsia" w:asciiTheme="majorEastAsia" w:hAnsiTheme="majorEastAsia" w:eastAsiaTheme="majorEastAsia" w:cstheme="majorEastAsia"/>
          <w:sz w:val="28"/>
          <w:szCs w:val="28"/>
        </w:rPr>
        <w:t>茉莉酸是植物体内一类十分重要的信号调节物质；大量研究结果表明，茉莉酸主要参与植物抵御反应及发育过程。我们的研究工作首次证实外源喷施茉莉酸具有延迟植物开花诱导的功能。此外，我们还发现茉莉酸信号途径下游的转录调控因子MYC2/3/4参与了植物开花诱导的过程，并对其调控植物开花的机制进行了详细解析。相关研究成果发表在Molecular Plant上。该研究工作拓宽了人们对植物激素茉莉酸功能的理解，为今后茉莉酸在农业生产中的利用提供了更多的可能性。</w:t>
      </w:r>
    </w:p>
    <w:p>
      <w:pPr>
        <w:keepNext w:val="0"/>
        <w:keepLines w:val="0"/>
        <w:pageBreakBefore w:val="0"/>
        <w:kinsoku/>
        <w:wordWrap/>
        <w:overflowPunct/>
        <w:topLinePunct w:val="0"/>
        <w:autoSpaceDE/>
        <w:autoSpaceDN/>
        <w:bidi w:val="0"/>
        <w:adjustRightInd/>
        <w:snapToGrid w:val="0"/>
        <w:spacing w:line="560" w:lineRule="exact"/>
        <w:ind w:firstLine="700" w:firstLineChars="250"/>
        <w:textAlignment w:val="auto"/>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该成果在Molecular Plant（2篇）、Plant Physiology（2篇），Journal of Experimental Botany杂志共发表5篇论文，其中2篇文章入选过Web of Science公布的领域内高被引论文；2篇论文入选“2017年和2018年中国植物学若干领域重要研究进展”。论文累计影响因子43.88 ，单篇最高影响因子12.084，平均影响因子8.776，引用共计231次，他引205次(其中SCI他引159次)，成果第一完成人连续两年获得Web of Science公布的全球高被引学者。培养博士生4名，硕士生3名，其中1人获得中国科学院百篇优秀博士学位论文奖，1人获得云南省优秀博士学位论文，1人获得中国科学院院长优秀奖；2人晋升为研究员，2人晋升为副研究员；1 人入选云南省“云岭学者”、3人入选中国科学院“青年创新促进会”、2人入选中国科协 “青年人才托举工程”计划、3人入选云南省万人计划“青年拔尖人才。</w:t>
      </w:r>
    </w:p>
    <w:p>
      <w:pPr>
        <w:pStyle w:val="7"/>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560" w:lineRule="exact"/>
        <w:ind w:firstLine="562" w:firstLineChars="200"/>
        <w:jc w:val="both"/>
        <w:textAlignment w:val="auto"/>
        <w:rPr>
          <w:rFonts w:hint="eastAsia" w:asciiTheme="majorEastAsia" w:hAnsiTheme="majorEastAsia" w:eastAsiaTheme="majorEastAsia" w:cstheme="majorEastAsia"/>
          <w:b/>
          <w:kern w:val="2"/>
          <w:sz w:val="28"/>
          <w:szCs w:val="28"/>
        </w:rPr>
      </w:pPr>
      <w:r>
        <w:rPr>
          <w:rFonts w:hint="eastAsia" w:asciiTheme="majorEastAsia" w:hAnsiTheme="majorEastAsia" w:eastAsiaTheme="majorEastAsia" w:cstheme="majorEastAsia"/>
          <w:b/>
          <w:kern w:val="2"/>
          <w:sz w:val="28"/>
          <w:szCs w:val="28"/>
        </w:rPr>
        <w:t>四、代表性论文专著目录</w:t>
      </w:r>
      <w:r>
        <w:rPr>
          <w:rFonts w:hint="eastAsia" w:asciiTheme="majorEastAsia" w:hAnsiTheme="majorEastAsia" w:eastAsiaTheme="majorEastAsia" w:cstheme="majorEastAsia"/>
          <w:b w:val="0"/>
          <w:bCs/>
          <w:sz w:val="28"/>
          <w:szCs w:val="28"/>
          <w:lang w:eastAsia="zh-CN"/>
        </w:rPr>
        <w:t>（</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sz w:val="28"/>
          <w:szCs w:val="28"/>
          <w:lang w:eastAsia="zh-CN"/>
        </w:rPr>
        <w:t>表示通讯作者，</w:t>
      </w:r>
      <w:r>
        <w:rPr>
          <w:rFonts w:hint="eastAsia" w:asciiTheme="majorEastAsia" w:hAnsiTheme="majorEastAsia" w:eastAsiaTheme="majorEastAsia" w:cstheme="majorEastAsia"/>
          <w:sz w:val="28"/>
          <w:szCs w:val="28"/>
          <w:lang w:val="en-US" w:eastAsia="zh-CN"/>
        </w:rPr>
        <w:t>#表示共同第一作者）</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sz w:val="28"/>
          <w:szCs w:val="28"/>
        </w:rPr>
        <w:t>1. Li W</w:t>
      </w:r>
      <w:r>
        <w:rPr>
          <w:rFonts w:hint="eastAsia" w:asciiTheme="majorEastAsia" w:hAnsiTheme="majorEastAsia" w:eastAsiaTheme="majorEastAsia" w:cstheme="majorEastAsia"/>
          <w:sz w:val="28"/>
          <w:szCs w:val="28"/>
          <w:vertAlign w:val="superscript"/>
        </w:rPr>
        <w:t>#</w:t>
      </w:r>
      <w:r>
        <w:rPr>
          <w:rFonts w:hint="eastAsia" w:asciiTheme="majorEastAsia" w:hAnsiTheme="majorEastAsia" w:eastAsiaTheme="majorEastAsia" w:cstheme="majorEastAsia"/>
          <w:sz w:val="28"/>
          <w:szCs w:val="28"/>
        </w:rPr>
        <w:t>, Wang H</w:t>
      </w:r>
      <w:r>
        <w:rPr>
          <w:rFonts w:hint="eastAsia" w:asciiTheme="majorEastAsia" w:hAnsiTheme="majorEastAsia" w:eastAsiaTheme="majorEastAsia" w:cstheme="majorEastAsia"/>
          <w:sz w:val="28"/>
          <w:szCs w:val="28"/>
          <w:lang w:val="en-US" w:eastAsia="zh-CN"/>
        </w:rPr>
        <w:t>P</w:t>
      </w:r>
      <w:r>
        <w:rPr>
          <w:rFonts w:hint="eastAsia" w:asciiTheme="majorEastAsia" w:hAnsiTheme="majorEastAsia" w:eastAsiaTheme="majorEastAsia" w:cstheme="majorEastAsia"/>
          <w:sz w:val="28"/>
          <w:szCs w:val="28"/>
          <w:vertAlign w:val="superscript"/>
        </w:rPr>
        <w:t>#</w:t>
      </w:r>
      <w:r>
        <w:rPr>
          <w:rFonts w:hint="eastAsia" w:asciiTheme="majorEastAsia" w:hAnsiTheme="majorEastAsia" w:eastAsiaTheme="majorEastAsia" w:cstheme="majorEastAsia"/>
          <w:sz w:val="28"/>
          <w:szCs w:val="28"/>
        </w:rPr>
        <w:t>, Yu D</w:t>
      </w:r>
      <w:r>
        <w:rPr>
          <w:rFonts w:hint="eastAsia" w:asciiTheme="majorEastAsia" w:hAnsiTheme="majorEastAsia" w:eastAsiaTheme="majorEastAsia" w:cstheme="majorEastAsia"/>
          <w:sz w:val="28"/>
          <w:szCs w:val="28"/>
          <w:lang w:val="en-US" w:eastAsia="zh-CN"/>
        </w:rPr>
        <w:t>Q</w:t>
      </w:r>
      <w:r>
        <w:rPr>
          <w:rFonts w:hint="eastAsia" w:asciiTheme="majorEastAsia" w:hAnsiTheme="majorEastAsia" w:eastAsiaTheme="majorEastAsia" w:cstheme="majorEastAsia"/>
          <w:sz w:val="28"/>
          <w:szCs w:val="28"/>
        </w:rPr>
        <w:t xml:space="preserve">*. 2016, Arabidopsis WRKY transcription factors WRKY12 and WRKY13 oppositely regulate flowering under short-day conditions. </w:t>
      </w:r>
      <w:r>
        <w:rPr>
          <w:rFonts w:hint="eastAsia" w:asciiTheme="majorEastAsia" w:hAnsiTheme="majorEastAsia" w:eastAsiaTheme="majorEastAsia" w:cstheme="majorEastAsia"/>
          <w:b w:val="0"/>
          <w:bCs w:val="0"/>
          <w:i/>
          <w:color w:val="000000"/>
          <w:sz w:val="28"/>
          <w:szCs w:val="28"/>
        </w:rPr>
        <w:t>Molecular Plant</w:t>
      </w:r>
      <w:r>
        <w:rPr>
          <w:rFonts w:hint="eastAsia" w:asciiTheme="majorEastAsia" w:hAnsiTheme="majorEastAsia" w:eastAsiaTheme="majorEastAsia" w:cstheme="majorEastAsia"/>
          <w:b w:val="0"/>
          <w:bCs w:val="0"/>
          <w:color w:val="000000"/>
          <w:sz w:val="28"/>
          <w:szCs w:val="28"/>
        </w:rPr>
        <w:t>,</w:t>
      </w:r>
      <w:r>
        <w:rPr>
          <w:rFonts w:hint="eastAsia" w:asciiTheme="majorEastAsia" w:hAnsiTheme="majorEastAsia" w:eastAsiaTheme="majorEastAsia" w:cstheme="majorEastAsia"/>
          <w:color w:val="000000"/>
          <w:sz w:val="28"/>
          <w:szCs w:val="28"/>
        </w:rPr>
        <w:t xml:space="preserve"> 9(11): 1492</w:t>
      </w:r>
      <w:r>
        <w:rPr>
          <w:rFonts w:hint="eastAsia" w:asciiTheme="majorEastAsia" w:hAnsiTheme="majorEastAsia" w:eastAsiaTheme="majorEastAsia" w:cstheme="majorEastAsia"/>
          <w:color w:val="000000"/>
          <w:sz w:val="28"/>
          <w:szCs w:val="28"/>
          <w:lang w:val="en-US" w:eastAsia="zh-CN"/>
        </w:rPr>
        <w:t>-</w:t>
      </w:r>
      <w:r>
        <w:rPr>
          <w:rFonts w:hint="eastAsia" w:asciiTheme="majorEastAsia" w:hAnsiTheme="majorEastAsia" w:eastAsiaTheme="majorEastAsia" w:cstheme="majorEastAsia"/>
          <w:color w:val="000000"/>
          <w:sz w:val="28"/>
          <w:szCs w:val="28"/>
        </w:rPr>
        <w:t xml:space="preserve">1503. </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2. Wang H</w:t>
      </w:r>
      <w:r>
        <w:rPr>
          <w:rFonts w:hint="eastAsia" w:asciiTheme="majorEastAsia" w:hAnsiTheme="majorEastAsia" w:eastAsiaTheme="majorEastAsia" w:cstheme="majorEastAsia"/>
          <w:color w:val="000000"/>
          <w:sz w:val="28"/>
          <w:szCs w:val="28"/>
          <w:lang w:val="en-US" w:eastAsia="zh-CN"/>
        </w:rPr>
        <w:t>P</w:t>
      </w:r>
      <w:r>
        <w:rPr>
          <w:rFonts w:hint="eastAsia" w:asciiTheme="majorEastAsia" w:hAnsiTheme="majorEastAsia" w:eastAsiaTheme="majorEastAsia" w:cstheme="majorEastAsia"/>
          <w:color w:val="000000"/>
          <w:sz w:val="28"/>
          <w:szCs w:val="28"/>
        </w:rPr>
        <w:t>, Li Y, Pan J</w:t>
      </w:r>
      <w:r>
        <w:rPr>
          <w:rFonts w:hint="eastAsia" w:asciiTheme="majorEastAsia" w:hAnsiTheme="majorEastAsia" w:eastAsiaTheme="majorEastAsia" w:cstheme="majorEastAsia"/>
          <w:color w:val="000000"/>
          <w:sz w:val="28"/>
          <w:szCs w:val="28"/>
          <w:lang w:val="en-US" w:eastAsia="zh-CN"/>
        </w:rPr>
        <w:t>J</w:t>
      </w:r>
      <w:r>
        <w:rPr>
          <w:rFonts w:hint="eastAsia" w:asciiTheme="majorEastAsia" w:hAnsiTheme="majorEastAsia" w:eastAsiaTheme="majorEastAsia" w:cstheme="majorEastAsia"/>
          <w:color w:val="000000"/>
          <w:sz w:val="28"/>
          <w:szCs w:val="28"/>
        </w:rPr>
        <w:t>, Luo D</w:t>
      </w:r>
      <w:r>
        <w:rPr>
          <w:rFonts w:hint="eastAsia" w:asciiTheme="majorEastAsia" w:hAnsiTheme="majorEastAsia" w:eastAsiaTheme="majorEastAsia" w:cstheme="majorEastAsia"/>
          <w:color w:val="000000"/>
          <w:sz w:val="28"/>
          <w:szCs w:val="28"/>
          <w:lang w:val="en-US" w:eastAsia="zh-CN"/>
        </w:rPr>
        <w:t>J</w:t>
      </w:r>
      <w:r>
        <w:rPr>
          <w:rFonts w:hint="eastAsia" w:asciiTheme="majorEastAsia" w:hAnsiTheme="majorEastAsia" w:eastAsiaTheme="majorEastAsia" w:cstheme="majorEastAsia"/>
          <w:color w:val="000000"/>
          <w:sz w:val="28"/>
          <w:szCs w:val="28"/>
        </w:rPr>
        <w:t>, Hu Y</w:t>
      </w:r>
      <w:r>
        <w:rPr>
          <w:rFonts w:hint="eastAsia" w:asciiTheme="majorEastAsia" w:hAnsiTheme="majorEastAsia" w:eastAsiaTheme="majorEastAsia" w:cstheme="majorEastAsia"/>
          <w:color w:val="000000"/>
          <w:sz w:val="28"/>
          <w:szCs w:val="28"/>
          <w:lang w:val="en-US" w:eastAsia="zh-CN"/>
        </w:rPr>
        <w:t>R</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rPr>
        <w:t>, Yu D</w:t>
      </w:r>
      <w:r>
        <w:rPr>
          <w:rFonts w:hint="eastAsia" w:asciiTheme="majorEastAsia" w:hAnsiTheme="majorEastAsia" w:eastAsiaTheme="majorEastAsia" w:cstheme="majorEastAsia"/>
          <w:color w:val="000000"/>
          <w:sz w:val="28"/>
          <w:szCs w:val="28"/>
          <w:lang w:val="en-US" w:eastAsia="zh-CN"/>
        </w:rPr>
        <w:t>Q</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color w:val="000000"/>
          <w:sz w:val="28"/>
          <w:szCs w:val="28"/>
        </w:rPr>
        <w:t>2017, The bHLH transcription factors MYC2, MYC3, and MYC4 are required for Jasmonate- mediated inhibition of flowering in Arabidopsis,</w:t>
      </w:r>
      <w:r>
        <w:rPr>
          <w:rFonts w:hint="eastAsia" w:asciiTheme="majorEastAsia" w:hAnsiTheme="majorEastAsia" w:eastAsiaTheme="majorEastAsia" w:cstheme="majorEastAsia"/>
          <w:b w:val="0"/>
          <w:bCs w:val="0"/>
          <w:color w:val="000000"/>
          <w:sz w:val="28"/>
          <w:szCs w:val="28"/>
        </w:rPr>
        <w:t xml:space="preserve"> </w:t>
      </w:r>
      <w:r>
        <w:rPr>
          <w:rFonts w:hint="eastAsia" w:asciiTheme="majorEastAsia" w:hAnsiTheme="majorEastAsia" w:eastAsiaTheme="majorEastAsia" w:cstheme="majorEastAsia"/>
          <w:b w:val="0"/>
          <w:bCs w:val="0"/>
          <w:i/>
          <w:color w:val="000000"/>
          <w:sz w:val="28"/>
          <w:szCs w:val="28"/>
        </w:rPr>
        <w:t>Molecular Plant</w:t>
      </w:r>
      <w:r>
        <w:rPr>
          <w:rFonts w:hint="eastAsia" w:asciiTheme="majorEastAsia" w:hAnsiTheme="majorEastAsia" w:eastAsiaTheme="majorEastAsia" w:cstheme="majorEastAsia"/>
          <w:b w:val="0"/>
          <w:bCs w:val="0"/>
          <w:color w:val="000000"/>
          <w:sz w:val="28"/>
          <w:szCs w:val="28"/>
        </w:rPr>
        <w:t xml:space="preserve">, </w:t>
      </w:r>
      <w:r>
        <w:rPr>
          <w:rFonts w:hint="eastAsia" w:asciiTheme="majorEastAsia" w:hAnsiTheme="majorEastAsia" w:eastAsiaTheme="majorEastAsia" w:cstheme="majorEastAsia"/>
          <w:color w:val="000000"/>
          <w:sz w:val="28"/>
          <w:szCs w:val="28"/>
        </w:rPr>
        <w:t>10(11): 1461</w:t>
      </w:r>
      <w:r>
        <w:rPr>
          <w:rFonts w:hint="eastAsia" w:asciiTheme="majorEastAsia" w:hAnsiTheme="majorEastAsia" w:eastAsiaTheme="majorEastAsia" w:cstheme="majorEastAsia"/>
          <w:color w:val="000000"/>
          <w:sz w:val="28"/>
          <w:szCs w:val="28"/>
          <w:lang w:val="en-US" w:eastAsia="zh-CN"/>
        </w:rPr>
        <w:t>-</w:t>
      </w:r>
      <w:r>
        <w:rPr>
          <w:rFonts w:hint="eastAsia" w:asciiTheme="majorEastAsia" w:hAnsiTheme="majorEastAsia" w:eastAsiaTheme="majorEastAsia" w:cstheme="majorEastAsia"/>
          <w:color w:val="000000"/>
          <w:sz w:val="28"/>
          <w:szCs w:val="28"/>
        </w:rPr>
        <w:t>1464.</w:t>
      </w:r>
      <w:bookmarkStart w:id="2" w:name="_GoBack"/>
      <w:bookmarkEnd w:id="2"/>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3. Zhang L</w:t>
      </w:r>
      <w:r>
        <w:rPr>
          <w:rFonts w:hint="eastAsia" w:asciiTheme="majorEastAsia" w:hAnsiTheme="majorEastAsia" w:eastAsiaTheme="majorEastAsia" w:cstheme="majorEastAsia"/>
          <w:color w:val="000000"/>
          <w:sz w:val="28"/>
          <w:szCs w:val="28"/>
          <w:lang w:val="en-US" w:eastAsia="zh-CN"/>
        </w:rPr>
        <w:t>P</w:t>
      </w:r>
      <w:r>
        <w:rPr>
          <w:rFonts w:hint="eastAsia" w:asciiTheme="majorEastAsia" w:hAnsiTheme="majorEastAsia" w:eastAsiaTheme="majorEastAsia" w:cstheme="majorEastAsia"/>
          <w:color w:val="000000"/>
          <w:sz w:val="28"/>
          <w:szCs w:val="28"/>
        </w:rPr>
        <w:t>, Chen L</w:t>
      </w:r>
      <w:r>
        <w:rPr>
          <w:rFonts w:hint="eastAsia" w:asciiTheme="majorEastAsia" w:hAnsiTheme="majorEastAsia" w:eastAsiaTheme="majorEastAsia" w:cstheme="majorEastAsia"/>
          <w:color w:val="000000"/>
          <w:sz w:val="28"/>
          <w:szCs w:val="28"/>
          <w:lang w:val="en-US" w:eastAsia="zh-CN"/>
        </w:rPr>
        <w:t>G</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rPr>
        <w:t>, Yu D</w:t>
      </w:r>
      <w:r>
        <w:rPr>
          <w:rFonts w:hint="eastAsia" w:asciiTheme="majorEastAsia" w:hAnsiTheme="majorEastAsia" w:eastAsiaTheme="majorEastAsia" w:cstheme="majorEastAsia"/>
          <w:color w:val="000000"/>
          <w:sz w:val="28"/>
          <w:szCs w:val="28"/>
          <w:lang w:val="en-US" w:eastAsia="zh-CN"/>
        </w:rPr>
        <w:t>Q</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rPr>
        <w:t xml:space="preserve">. 2018, Transcription Factor WRKY75 Interacts with DELLA Proteins to Affect Flowering. </w:t>
      </w:r>
      <w:r>
        <w:rPr>
          <w:rFonts w:hint="eastAsia" w:asciiTheme="majorEastAsia" w:hAnsiTheme="majorEastAsia" w:eastAsiaTheme="majorEastAsia" w:cstheme="majorEastAsia"/>
          <w:b w:val="0"/>
          <w:bCs w:val="0"/>
          <w:i/>
          <w:iCs/>
          <w:color w:val="000000"/>
          <w:sz w:val="28"/>
          <w:szCs w:val="28"/>
        </w:rPr>
        <w:t>Plant physiology</w:t>
      </w:r>
      <w:r>
        <w:rPr>
          <w:rFonts w:hint="eastAsia" w:asciiTheme="majorEastAsia" w:hAnsiTheme="majorEastAsia" w:eastAsiaTheme="majorEastAsia" w:cstheme="majorEastAsia"/>
          <w:color w:val="000000"/>
          <w:sz w:val="28"/>
          <w:szCs w:val="28"/>
        </w:rPr>
        <w:t>, 176(1): 790–803.</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sz w:val="28"/>
          <w:szCs w:val="28"/>
        </w:rPr>
        <w:t>4. Wang H</w:t>
      </w:r>
      <w:r>
        <w:rPr>
          <w:rFonts w:hint="eastAsia" w:asciiTheme="majorEastAsia" w:hAnsiTheme="majorEastAsia" w:eastAsiaTheme="majorEastAsia" w:cstheme="majorEastAsia"/>
          <w:sz w:val="28"/>
          <w:szCs w:val="28"/>
          <w:lang w:val="en-US" w:eastAsia="zh-CN"/>
        </w:rPr>
        <w:t>P</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P</w:t>
      </w:r>
      <w:r>
        <w:rPr>
          <w:rFonts w:hint="eastAsia" w:asciiTheme="majorEastAsia" w:hAnsiTheme="majorEastAsia" w:eastAsiaTheme="majorEastAsia" w:cstheme="majorEastAsia"/>
          <w:sz w:val="28"/>
          <w:szCs w:val="28"/>
        </w:rPr>
        <w:t xml:space="preserve">an </w:t>
      </w:r>
      <w:r>
        <w:rPr>
          <w:rFonts w:hint="eastAsia" w:asciiTheme="majorEastAsia" w:hAnsiTheme="majorEastAsia" w:eastAsiaTheme="majorEastAsia" w:cstheme="majorEastAsia"/>
          <w:sz w:val="28"/>
          <w:szCs w:val="28"/>
          <w:lang w:val="en-US" w:eastAsia="zh-CN"/>
        </w:rPr>
        <w:t>JJ</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lang w:val="en-US" w:eastAsia="zh-CN"/>
        </w:rPr>
        <w:t>L</w:t>
      </w:r>
      <w:r>
        <w:rPr>
          <w:rFonts w:hint="eastAsia" w:asciiTheme="majorEastAsia" w:hAnsiTheme="majorEastAsia" w:eastAsiaTheme="majorEastAsia" w:cstheme="majorEastAsia"/>
          <w:sz w:val="28"/>
          <w:szCs w:val="28"/>
        </w:rPr>
        <w:t>i Y, Lou D</w:t>
      </w:r>
      <w:r>
        <w:rPr>
          <w:rFonts w:hint="eastAsia" w:asciiTheme="majorEastAsia" w:hAnsiTheme="majorEastAsia" w:eastAsiaTheme="majorEastAsia" w:cstheme="majorEastAsia"/>
          <w:sz w:val="28"/>
          <w:szCs w:val="28"/>
          <w:lang w:val="en-US" w:eastAsia="zh-CN"/>
        </w:rPr>
        <w:t>J</w:t>
      </w:r>
      <w:r>
        <w:rPr>
          <w:rFonts w:hint="eastAsia" w:asciiTheme="majorEastAsia" w:hAnsiTheme="majorEastAsia" w:eastAsiaTheme="majorEastAsia" w:cstheme="majorEastAsia"/>
          <w:sz w:val="28"/>
          <w:szCs w:val="28"/>
        </w:rPr>
        <w:t>, Hu Y</w:t>
      </w:r>
      <w:r>
        <w:rPr>
          <w:rFonts w:hint="eastAsia" w:asciiTheme="majorEastAsia" w:hAnsiTheme="majorEastAsia" w:eastAsiaTheme="majorEastAsia" w:cstheme="majorEastAsia"/>
          <w:sz w:val="28"/>
          <w:szCs w:val="28"/>
          <w:lang w:val="en-US" w:eastAsia="zh-CN"/>
        </w:rPr>
        <w:t>R</w:t>
      </w:r>
      <w:r>
        <w:rPr>
          <w:rFonts w:hint="eastAsia" w:asciiTheme="majorEastAsia" w:hAnsiTheme="majorEastAsia" w:eastAsiaTheme="majorEastAsia" w:cstheme="majorEastAsia"/>
          <w:sz w:val="28"/>
          <w:szCs w:val="28"/>
        </w:rPr>
        <w:t>*, Yu D</w:t>
      </w:r>
      <w:r>
        <w:rPr>
          <w:rFonts w:hint="eastAsia" w:asciiTheme="majorEastAsia" w:hAnsiTheme="majorEastAsia" w:eastAsiaTheme="majorEastAsia" w:cstheme="majorEastAsia"/>
          <w:sz w:val="28"/>
          <w:szCs w:val="28"/>
          <w:lang w:val="en-US" w:eastAsia="zh-CN"/>
        </w:rPr>
        <w:t>Q</w:t>
      </w:r>
      <w:r>
        <w:rPr>
          <w:rFonts w:hint="eastAsia" w:asciiTheme="majorEastAsia" w:hAnsiTheme="majorEastAsia" w:eastAsiaTheme="majorEastAsia" w:cstheme="majorEastAsia"/>
          <w:sz w:val="28"/>
          <w:szCs w:val="28"/>
        </w:rPr>
        <w:t>*. 2016, The DELLA-CONSTANS transcription factor cascade integrates gibberellic acid and photoperiod signaling to regulate flowering,</w:t>
      </w:r>
      <w:r>
        <w:rPr>
          <w:rFonts w:hint="eastAsia" w:asciiTheme="majorEastAsia" w:hAnsiTheme="majorEastAsia" w:eastAsiaTheme="majorEastAsia" w:cstheme="majorEastAsia"/>
          <w:i/>
          <w:sz w:val="28"/>
          <w:szCs w:val="28"/>
        </w:rPr>
        <w:t xml:space="preserve"> </w:t>
      </w:r>
      <w:r>
        <w:rPr>
          <w:rFonts w:hint="eastAsia" w:asciiTheme="majorEastAsia" w:hAnsiTheme="majorEastAsia" w:eastAsiaTheme="majorEastAsia" w:cstheme="majorEastAsia"/>
          <w:b w:val="0"/>
          <w:bCs w:val="0"/>
          <w:i/>
          <w:color w:val="000000"/>
          <w:sz w:val="28"/>
          <w:szCs w:val="28"/>
        </w:rPr>
        <w:t>Plant Physiology</w:t>
      </w:r>
      <w:r>
        <w:rPr>
          <w:rFonts w:hint="eastAsia" w:asciiTheme="majorEastAsia" w:hAnsiTheme="majorEastAsia" w:eastAsiaTheme="majorEastAsia" w:cstheme="majorEastAsia"/>
          <w:color w:val="000000"/>
          <w:sz w:val="28"/>
          <w:szCs w:val="28"/>
        </w:rPr>
        <w:t>, 2(1): 479</w:t>
      </w:r>
      <w:r>
        <w:rPr>
          <w:rFonts w:hint="eastAsia" w:asciiTheme="majorEastAsia" w:hAnsiTheme="majorEastAsia" w:eastAsiaTheme="majorEastAsia" w:cstheme="majorEastAsia"/>
          <w:color w:val="000000"/>
          <w:sz w:val="28"/>
          <w:szCs w:val="28"/>
          <w:lang w:val="en-US" w:eastAsia="zh-CN"/>
        </w:rPr>
        <w:t>-</w:t>
      </w:r>
      <w:r>
        <w:rPr>
          <w:rFonts w:hint="eastAsia" w:asciiTheme="majorEastAsia" w:hAnsiTheme="majorEastAsia" w:eastAsiaTheme="majorEastAsia" w:cstheme="majorEastAsia"/>
          <w:color w:val="000000"/>
          <w:sz w:val="28"/>
          <w:szCs w:val="28"/>
        </w:rPr>
        <w:t>488.</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5. Li Y, Wang H</w:t>
      </w:r>
      <w:r>
        <w:rPr>
          <w:rFonts w:hint="eastAsia" w:asciiTheme="majorEastAsia" w:hAnsiTheme="majorEastAsia" w:eastAsiaTheme="majorEastAsia" w:cstheme="majorEastAsia"/>
          <w:color w:val="000000"/>
          <w:sz w:val="28"/>
          <w:szCs w:val="28"/>
          <w:lang w:val="en-US" w:eastAsia="zh-CN"/>
        </w:rPr>
        <w:t>P</w:t>
      </w:r>
      <w:r>
        <w:rPr>
          <w:rFonts w:hint="eastAsia" w:asciiTheme="majorEastAsia" w:hAnsiTheme="majorEastAsia" w:eastAsiaTheme="majorEastAsia" w:cstheme="majorEastAsia"/>
          <w:color w:val="000000"/>
          <w:sz w:val="28"/>
          <w:szCs w:val="28"/>
        </w:rPr>
        <w:t>, Li X</w:t>
      </w:r>
      <w:r>
        <w:rPr>
          <w:rFonts w:hint="eastAsia" w:asciiTheme="majorEastAsia" w:hAnsiTheme="majorEastAsia" w:eastAsiaTheme="majorEastAsia" w:cstheme="majorEastAsia"/>
          <w:color w:val="000000"/>
          <w:sz w:val="28"/>
          <w:szCs w:val="28"/>
          <w:lang w:val="en-US" w:eastAsia="zh-CN"/>
        </w:rPr>
        <w:t>L</w:t>
      </w:r>
      <w:r>
        <w:rPr>
          <w:rFonts w:hint="eastAsia" w:asciiTheme="majorEastAsia" w:hAnsiTheme="majorEastAsia" w:eastAsiaTheme="majorEastAsia" w:cstheme="majorEastAsia"/>
          <w:color w:val="000000"/>
          <w:sz w:val="28"/>
          <w:szCs w:val="28"/>
        </w:rPr>
        <w:t>, Liang G</w:t>
      </w:r>
      <w:r>
        <w:rPr>
          <w:rFonts w:hint="eastAsia" w:asciiTheme="majorEastAsia" w:hAnsiTheme="majorEastAsia" w:eastAsiaTheme="majorEastAsia" w:cstheme="majorEastAsia"/>
          <w:sz w:val="28"/>
          <w:szCs w:val="28"/>
        </w:rPr>
        <w:t>*,</w:t>
      </w:r>
      <w:r>
        <w:rPr>
          <w:rFonts w:hint="eastAsia" w:asciiTheme="majorEastAsia" w:hAnsiTheme="majorEastAsia" w:eastAsiaTheme="majorEastAsia" w:cstheme="majorEastAsia"/>
          <w:color w:val="000000"/>
          <w:sz w:val="28"/>
          <w:szCs w:val="28"/>
        </w:rPr>
        <w:t xml:space="preserve"> Yu D</w:t>
      </w:r>
      <w:r>
        <w:rPr>
          <w:rFonts w:hint="eastAsia" w:asciiTheme="majorEastAsia" w:hAnsiTheme="majorEastAsia" w:eastAsiaTheme="majorEastAsia" w:cstheme="majorEastAsia"/>
          <w:color w:val="000000"/>
          <w:sz w:val="28"/>
          <w:szCs w:val="28"/>
          <w:lang w:val="en-US" w:eastAsia="zh-CN"/>
        </w:rPr>
        <w:t>Q</w:t>
      </w:r>
      <w:r>
        <w:rPr>
          <w:rFonts w:hint="eastAsia" w:asciiTheme="majorEastAsia" w:hAnsiTheme="majorEastAsia" w:eastAsiaTheme="majorEastAsia" w:cstheme="majorEastAsia"/>
          <w:sz w:val="28"/>
          <w:szCs w:val="28"/>
        </w:rPr>
        <w:t xml:space="preserve">*. 2017, </w:t>
      </w:r>
      <w:r>
        <w:rPr>
          <w:rFonts w:hint="eastAsia" w:asciiTheme="majorEastAsia" w:hAnsiTheme="majorEastAsia" w:eastAsiaTheme="majorEastAsia" w:cstheme="majorEastAsia"/>
          <w:color w:val="000000"/>
          <w:sz w:val="28"/>
          <w:szCs w:val="28"/>
        </w:rPr>
        <w:t>Two DELLA- interactingn proteins bHLH48 and bHLH60 regulate flowering under long-day conditions in Arabidopsis thaliana,</w:t>
      </w:r>
      <w:r>
        <w:rPr>
          <w:rFonts w:hint="eastAsia" w:asciiTheme="majorEastAsia" w:hAnsiTheme="majorEastAsia" w:eastAsiaTheme="majorEastAsia" w:cstheme="majorEastAsia"/>
          <w:i/>
          <w:color w:val="000000"/>
          <w:sz w:val="28"/>
          <w:szCs w:val="28"/>
        </w:rPr>
        <w:t xml:space="preserve"> </w:t>
      </w:r>
      <w:r>
        <w:rPr>
          <w:rFonts w:hint="eastAsia" w:asciiTheme="majorEastAsia" w:hAnsiTheme="majorEastAsia" w:eastAsiaTheme="majorEastAsia" w:cstheme="majorEastAsia"/>
          <w:b w:val="0"/>
          <w:bCs w:val="0"/>
          <w:i/>
          <w:color w:val="000000"/>
          <w:sz w:val="28"/>
          <w:szCs w:val="28"/>
        </w:rPr>
        <w:t>Journal of Experimental Botany</w:t>
      </w:r>
      <w:r>
        <w:rPr>
          <w:rFonts w:hint="eastAsia" w:asciiTheme="majorEastAsia" w:hAnsiTheme="majorEastAsia" w:eastAsiaTheme="majorEastAsia" w:cstheme="majorEastAsia"/>
          <w:color w:val="000000"/>
          <w:sz w:val="28"/>
          <w:szCs w:val="28"/>
        </w:rPr>
        <w:t>,</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color w:val="000000"/>
          <w:sz w:val="28"/>
          <w:szCs w:val="28"/>
        </w:rPr>
        <w:t>68(11): 2757-2767.</w:t>
      </w:r>
    </w:p>
    <w:p>
      <w:pPr>
        <w:keepNext w:val="0"/>
        <w:keepLines w:val="0"/>
        <w:pageBreakBefore w:val="0"/>
        <w:kinsoku/>
        <w:wordWrap/>
        <w:overflowPunct/>
        <w:topLinePunct w:val="0"/>
        <w:autoSpaceDE/>
        <w:autoSpaceDN/>
        <w:bidi w:val="0"/>
        <w:adjustRightInd/>
        <w:snapToGrid w:val="0"/>
        <w:spacing w:line="560" w:lineRule="exact"/>
        <w:ind w:firstLine="562" w:firstLineChars="200"/>
        <w:textAlignment w:val="auto"/>
        <w:rPr>
          <w:rFonts w:hint="eastAsia" w:asciiTheme="majorEastAsia" w:hAnsiTheme="majorEastAsia" w:eastAsiaTheme="majorEastAsia" w:cstheme="majorEastAsia"/>
          <w:color w:val="333333"/>
          <w:sz w:val="28"/>
          <w:szCs w:val="28"/>
        </w:rPr>
      </w:pPr>
      <w:r>
        <w:rPr>
          <w:rFonts w:hint="eastAsia" w:asciiTheme="majorEastAsia" w:hAnsiTheme="majorEastAsia" w:eastAsiaTheme="majorEastAsia" w:cstheme="majorEastAsia"/>
          <w:b/>
          <w:sz w:val="28"/>
          <w:szCs w:val="28"/>
        </w:rPr>
        <w:t>五、主要完成人基本情况</w:t>
      </w:r>
    </w:p>
    <w:p>
      <w:pPr>
        <w:keepNext w:val="0"/>
        <w:keepLines w:val="0"/>
        <w:pageBreakBefore w:val="0"/>
        <w:kinsoku/>
        <w:wordWrap/>
        <w:overflowPunct/>
        <w:topLinePunct w:val="0"/>
        <w:autoSpaceDE/>
        <w:autoSpaceDN/>
        <w:bidi w:val="0"/>
        <w:adjustRightInd/>
        <w:snapToGrid w:val="0"/>
        <w:spacing w:line="560" w:lineRule="exact"/>
        <w:ind w:firstLine="562" w:firstLineChars="200"/>
        <w:textAlignment w:val="auto"/>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b/>
          <w:bCs/>
          <w:sz w:val="28"/>
          <w:szCs w:val="28"/>
        </w:rPr>
        <w:t>1</w:t>
      </w:r>
      <w:r>
        <w:rPr>
          <w:rFonts w:hint="eastAsia" w:asciiTheme="majorEastAsia" w:hAnsiTheme="majorEastAsia" w:eastAsiaTheme="majorEastAsia" w:cstheme="majorEastAsia"/>
          <w:b/>
          <w:bCs/>
          <w:sz w:val="28"/>
          <w:szCs w:val="28"/>
          <w:highlight w:val="none"/>
        </w:rPr>
        <w:t>、余迪求</w:t>
      </w:r>
      <w:r>
        <w:rPr>
          <w:rFonts w:hint="eastAsia" w:asciiTheme="majorEastAsia" w:hAnsiTheme="majorEastAsia" w:eastAsiaTheme="majorEastAsia" w:cstheme="majorEastAsia"/>
          <w:sz w:val="28"/>
          <w:szCs w:val="28"/>
          <w:highlight w:val="none"/>
        </w:rPr>
        <w:t>，职称</w:t>
      </w:r>
      <w:r>
        <w:rPr>
          <w:rFonts w:hint="eastAsia" w:asciiTheme="majorEastAsia" w:hAnsiTheme="majorEastAsia" w:eastAsiaTheme="majorEastAsia" w:cstheme="majorEastAsia"/>
          <w:sz w:val="28"/>
          <w:szCs w:val="28"/>
          <w:highlight w:val="none"/>
          <w:lang w:eastAsia="zh-CN"/>
        </w:rPr>
        <w:t>：</w:t>
      </w:r>
      <w:r>
        <w:rPr>
          <w:rFonts w:hint="eastAsia" w:asciiTheme="majorEastAsia" w:hAnsiTheme="majorEastAsia" w:eastAsiaTheme="majorEastAsia" w:cstheme="majorEastAsia"/>
          <w:sz w:val="28"/>
          <w:szCs w:val="28"/>
          <w:highlight w:val="none"/>
        </w:rPr>
        <w:t>研究员，完成单位</w:t>
      </w:r>
      <w:r>
        <w:rPr>
          <w:rFonts w:hint="eastAsia" w:asciiTheme="majorEastAsia" w:hAnsiTheme="majorEastAsia" w:eastAsiaTheme="majorEastAsia" w:cstheme="majorEastAsia"/>
          <w:sz w:val="28"/>
          <w:szCs w:val="28"/>
          <w:highlight w:val="none"/>
          <w:lang w:eastAsia="zh-CN"/>
        </w:rPr>
        <w:t>：</w:t>
      </w:r>
      <w:r>
        <w:rPr>
          <w:rFonts w:hint="eastAsia" w:asciiTheme="majorEastAsia" w:hAnsiTheme="majorEastAsia" w:eastAsiaTheme="majorEastAsia" w:cstheme="majorEastAsia"/>
          <w:sz w:val="28"/>
          <w:szCs w:val="28"/>
          <w:highlight w:val="none"/>
        </w:rPr>
        <w:t>中国科学院西双版纳热带植物园，工作单位</w:t>
      </w:r>
      <w:r>
        <w:rPr>
          <w:rFonts w:hint="eastAsia" w:asciiTheme="majorEastAsia" w:hAnsiTheme="majorEastAsia" w:eastAsiaTheme="majorEastAsia" w:cstheme="majorEastAsia"/>
          <w:sz w:val="28"/>
          <w:szCs w:val="28"/>
          <w:highlight w:val="none"/>
          <w:lang w:eastAsia="zh-CN"/>
        </w:rPr>
        <w:t>：</w:t>
      </w:r>
      <w:r>
        <w:rPr>
          <w:rFonts w:hint="eastAsia" w:asciiTheme="majorEastAsia" w:hAnsiTheme="majorEastAsia" w:eastAsiaTheme="majorEastAsia" w:cstheme="majorEastAsia"/>
          <w:sz w:val="28"/>
          <w:szCs w:val="28"/>
          <w:highlight w:val="none"/>
        </w:rPr>
        <w:t>云南大学。</w:t>
      </w:r>
    </w:p>
    <w:p>
      <w:pPr>
        <w:keepNext w:val="0"/>
        <w:keepLines w:val="0"/>
        <w:pageBreakBefore w:val="0"/>
        <w:kinsoku/>
        <w:wordWrap/>
        <w:overflowPunct/>
        <w:topLinePunct w:val="0"/>
        <w:autoSpaceDE/>
        <w:autoSpaceDN/>
        <w:bidi w:val="0"/>
        <w:adjustRightInd/>
        <w:snapToGrid w:val="0"/>
        <w:spacing w:line="560" w:lineRule="exact"/>
        <w:ind w:firstLine="562" w:firstLineChars="200"/>
        <w:textAlignment w:val="auto"/>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b/>
          <w:bCs/>
          <w:sz w:val="28"/>
          <w:szCs w:val="28"/>
          <w:highlight w:val="none"/>
        </w:rPr>
        <w:t>2、王后平</w:t>
      </w:r>
      <w:r>
        <w:rPr>
          <w:rFonts w:hint="eastAsia" w:asciiTheme="majorEastAsia" w:hAnsiTheme="majorEastAsia" w:eastAsiaTheme="majorEastAsia" w:cstheme="majorEastAsia"/>
          <w:sz w:val="28"/>
          <w:szCs w:val="28"/>
          <w:highlight w:val="none"/>
        </w:rPr>
        <w:t>，职称</w:t>
      </w:r>
      <w:r>
        <w:rPr>
          <w:rFonts w:hint="eastAsia" w:asciiTheme="majorEastAsia" w:hAnsiTheme="majorEastAsia" w:eastAsiaTheme="majorEastAsia" w:cstheme="majorEastAsia"/>
          <w:sz w:val="28"/>
          <w:szCs w:val="28"/>
          <w:highlight w:val="none"/>
          <w:lang w:eastAsia="zh-CN"/>
        </w:rPr>
        <w:t>：</w:t>
      </w:r>
      <w:r>
        <w:rPr>
          <w:rFonts w:hint="eastAsia" w:asciiTheme="majorEastAsia" w:hAnsiTheme="majorEastAsia" w:eastAsiaTheme="majorEastAsia" w:cstheme="majorEastAsia"/>
          <w:sz w:val="28"/>
          <w:szCs w:val="28"/>
          <w:highlight w:val="none"/>
        </w:rPr>
        <w:t>副研究员，完成单位</w:t>
      </w:r>
      <w:r>
        <w:rPr>
          <w:rFonts w:hint="eastAsia" w:asciiTheme="majorEastAsia" w:hAnsiTheme="majorEastAsia" w:eastAsiaTheme="majorEastAsia" w:cstheme="majorEastAsia"/>
          <w:sz w:val="28"/>
          <w:szCs w:val="28"/>
          <w:highlight w:val="none"/>
          <w:lang w:eastAsia="zh-CN"/>
        </w:rPr>
        <w:t>：</w:t>
      </w:r>
      <w:r>
        <w:rPr>
          <w:rFonts w:hint="eastAsia" w:asciiTheme="majorEastAsia" w:hAnsiTheme="majorEastAsia" w:eastAsiaTheme="majorEastAsia" w:cstheme="majorEastAsia"/>
          <w:sz w:val="28"/>
          <w:szCs w:val="28"/>
          <w:highlight w:val="none"/>
        </w:rPr>
        <w:t>中国科学院西双版纳热带植物园，工作单位</w:t>
      </w:r>
      <w:r>
        <w:rPr>
          <w:rFonts w:hint="eastAsia" w:asciiTheme="majorEastAsia" w:hAnsiTheme="majorEastAsia" w:eastAsiaTheme="majorEastAsia" w:cstheme="majorEastAsia"/>
          <w:sz w:val="28"/>
          <w:szCs w:val="28"/>
          <w:highlight w:val="none"/>
          <w:lang w:eastAsia="zh-CN"/>
        </w:rPr>
        <w:t>：</w:t>
      </w:r>
      <w:r>
        <w:rPr>
          <w:rFonts w:hint="eastAsia" w:asciiTheme="majorEastAsia" w:hAnsiTheme="majorEastAsia" w:eastAsiaTheme="majorEastAsia" w:cstheme="majorEastAsia"/>
          <w:sz w:val="28"/>
          <w:szCs w:val="28"/>
          <w:highlight w:val="none"/>
        </w:rPr>
        <w:t>云南大学。</w:t>
      </w:r>
    </w:p>
    <w:p>
      <w:pPr>
        <w:keepNext w:val="0"/>
        <w:keepLines w:val="0"/>
        <w:pageBreakBefore w:val="0"/>
        <w:kinsoku/>
        <w:wordWrap/>
        <w:overflowPunct/>
        <w:topLinePunct w:val="0"/>
        <w:autoSpaceDE/>
        <w:autoSpaceDN/>
        <w:bidi w:val="0"/>
        <w:adjustRightInd/>
        <w:snapToGrid w:val="0"/>
        <w:spacing w:line="560" w:lineRule="exact"/>
        <w:ind w:firstLine="562" w:firstLineChars="200"/>
        <w:textAlignment w:val="auto"/>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b/>
          <w:bCs/>
          <w:sz w:val="28"/>
          <w:szCs w:val="28"/>
          <w:highlight w:val="none"/>
        </w:rPr>
        <w:t>3、李委</w:t>
      </w:r>
      <w:r>
        <w:rPr>
          <w:rFonts w:hint="eastAsia" w:asciiTheme="majorEastAsia" w:hAnsiTheme="majorEastAsia" w:eastAsiaTheme="majorEastAsia" w:cstheme="majorEastAsia"/>
          <w:sz w:val="28"/>
          <w:szCs w:val="28"/>
          <w:highlight w:val="none"/>
        </w:rPr>
        <w:t>，职称</w:t>
      </w:r>
      <w:r>
        <w:rPr>
          <w:rFonts w:hint="eastAsia" w:asciiTheme="majorEastAsia" w:hAnsiTheme="majorEastAsia" w:eastAsiaTheme="majorEastAsia" w:cstheme="majorEastAsia"/>
          <w:sz w:val="28"/>
          <w:szCs w:val="28"/>
          <w:highlight w:val="none"/>
          <w:lang w:eastAsia="zh-CN"/>
        </w:rPr>
        <w:t>：</w:t>
      </w:r>
      <w:r>
        <w:rPr>
          <w:rFonts w:hint="eastAsia" w:asciiTheme="majorEastAsia" w:hAnsiTheme="majorEastAsia" w:eastAsiaTheme="majorEastAsia" w:cstheme="majorEastAsia"/>
          <w:sz w:val="28"/>
          <w:szCs w:val="28"/>
          <w:highlight w:val="none"/>
        </w:rPr>
        <w:t>副教授，完成单位</w:t>
      </w:r>
      <w:r>
        <w:rPr>
          <w:rFonts w:hint="eastAsia" w:asciiTheme="majorEastAsia" w:hAnsiTheme="majorEastAsia" w:eastAsiaTheme="majorEastAsia" w:cstheme="majorEastAsia"/>
          <w:sz w:val="28"/>
          <w:szCs w:val="28"/>
          <w:highlight w:val="none"/>
          <w:lang w:eastAsia="zh-CN"/>
        </w:rPr>
        <w:t>：</w:t>
      </w:r>
      <w:r>
        <w:rPr>
          <w:rFonts w:hint="eastAsia" w:asciiTheme="majorEastAsia" w:hAnsiTheme="majorEastAsia" w:eastAsiaTheme="majorEastAsia" w:cstheme="majorEastAsia"/>
          <w:sz w:val="28"/>
          <w:szCs w:val="28"/>
          <w:highlight w:val="none"/>
        </w:rPr>
        <w:t>中国科学院西双版纳热带植物园，工作单位</w:t>
      </w:r>
      <w:r>
        <w:rPr>
          <w:rFonts w:hint="eastAsia" w:asciiTheme="majorEastAsia" w:hAnsiTheme="majorEastAsia" w:eastAsiaTheme="majorEastAsia" w:cstheme="majorEastAsia"/>
          <w:sz w:val="28"/>
          <w:szCs w:val="28"/>
          <w:highlight w:val="none"/>
          <w:lang w:eastAsia="zh-CN"/>
        </w:rPr>
        <w:t>：</w:t>
      </w:r>
      <w:r>
        <w:rPr>
          <w:rFonts w:hint="eastAsia" w:asciiTheme="majorEastAsia" w:hAnsiTheme="majorEastAsia" w:eastAsiaTheme="majorEastAsia" w:cstheme="majorEastAsia"/>
          <w:sz w:val="28"/>
          <w:szCs w:val="28"/>
          <w:highlight w:val="none"/>
        </w:rPr>
        <w:t>安徽农业大学。</w:t>
      </w:r>
    </w:p>
    <w:p>
      <w:pPr>
        <w:keepNext w:val="0"/>
        <w:keepLines w:val="0"/>
        <w:pageBreakBefore w:val="0"/>
        <w:kinsoku/>
        <w:wordWrap/>
        <w:overflowPunct/>
        <w:topLinePunct w:val="0"/>
        <w:autoSpaceDE/>
        <w:autoSpaceDN/>
        <w:bidi w:val="0"/>
        <w:adjustRightInd/>
        <w:snapToGrid w:val="0"/>
        <w:spacing w:line="560" w:lineRule="exact"/>
        <w:ind w:firstLine="562" w:firstLineChars="200"/>
        <w:textAlignment w:val="auto"/>
        <w:rPr>
          <w:rFonts w:hint="eastAsia" w:asciiTheme="majorEastAsia" w:hAnsiTheme="majorEastAsia" w:eastAsiaTheme="majorEastAsia" w:cstheme="majorEastAsia"/>
          <w:sz w:val="28"/>
          <w:szCs w:val="28"/>
          <w:highlight w:val="none"/>
        </w:rPr>
      </w:pPr>
      <w:r>
        <w:rPr>
          <w:rFonts w:hint="eastAsia" w:asciiTheme="majorEastAsia" w:hAnsiTheme="majorEastAsia" w:eastAsiaTheme="majorEastAsia" w:cstheme="majorEastAsia"/>
          <w:b/>
          <w:bCs/>
          <w:sz w:val="28"/>
          <w:szCs w:val="28"/>
          <w:highlight w:val="none"/>
        </w:rPr>
        <w:t>4、张利平</w:t>
      </w:r>
      <w:r>
        <w:rPr>
          <w:rFonts w:hint="eastAsia" w:asciiTheme="majorEastAsia" w:hAnsiTheme="majorEastAsia" w:eastAsiaTheme="majorEastAsia" w:cstheme="majorEastAsia"/>
          <w:sz w:val="28"/>
          <w:szCs w:val="28"/>
          <w:highlight w:val="none"/>
        </w:rPr>
        <w:t>，职称</w:t>
      </w:r>
      <w:r>
        <w:rPr>
          <w:rFonts w:hint="eastAsia" w:asciiTheme="majorEastAsia" w:hAnsiTheme="majorEastAsia" w:eastAsiaTheme="majorEastAsia" w:cstheme="majorEastAsia"/>
          <w:sz w:val="28"/>
          <w:szCs w:val="28"/>
          <w:highlight w:val="none"/>
          <w:lang w:eastAsia="zh-CN"/>
        </w:rPr>
        <w:t>：</w:t>
      </w:r>
      <w:r>
        <w:rPr>
          <w:rFonts w:hint="eastAsia" w:asciiTheme="majorEastAsia" w:hAnsiTheme="majorEastAsia" w:eastAsiaTheme="majorEastAsia" w:cstheme="majorEastAsia"/>
          <w:sz w:val="28"/>
          <w:szCs w:val="28"/>
          <w:highlight w:val="none"/>
        </w:rPr>
        <w:t>助理研究员，完成单位</w:t>
      </w:r>
      <w:r>
        <w:rPr>
          <w:rFonts w:hint="eastAsia" w:asciiTheme="majorEastAsia" w:hAnsiTheme="majorEastAsia" w:eastAsiaTheme="majorEastAsia" w:cstheme="majorEastAsia"/>
          <w:sz w:val="28"/>
          <w:szCs w:val="28"/>
          <w:highlight w:val="none"/>
          <w:lang w:eastAsia="zh-CN"/>
        </w:rPr>
        <w:t>：</w:t>
      </w:r>
      <w:r>
        <w:rPr>
          <w:rFonts w:hint="eastAsia" w:asciiTheme="majorEastAsia" w:hAnsiTheme="majorEastAsia" w:eastAsiaTheme="majorEastAsia" w:cstheme="majorEastAsia"/>
          <w:sz w:val="28"/>
          <w:szCs w:val="28"/>
          <w:highlight w:val="none"/>
        </w:rPr>
        <w:t>中国科学院西双版纳热带植物园，工作单位</w:t>
      </w:r>
      <w:r>
        <w:rPr>
          <w:rFonts w:hint="eastAsia" w:asciiTheme="majorEastAsia" w:hAnsiTheme="majorEastAsia" w:eastAsiaTheme="majorEastAsia" w:cstheme="majorEastAsia"/>
          <w:sz w:val="28"/>
          <w:szCs w:val="28"/>
          <w:highlight w:val="none"/>
          <w:lang w:eastAsia="zh-CN"/>
        </w:rPr>
        <w:t>：</w:t>
      </w:r>
      <w:r>
        <w:rPr>
          <w:rFonts w:hint="eastAsia" w:asciiTheme="majorEastAsia" w:hAnsiTheme="majorEastAsia" w:eastAsiaTheme="majorEastAsia" w:cstheme="majorEastAsia"/>
          <w:sz w:val="28"/>
          <w:szCs w:val="28"/>
          <w:highlight w:val="none"/>
        </w:rPr>
        <w:t>中国科学院昆明植物研究所。</w:t>
      </w:r>
    </w:p>
    <w:p>
      <w:pPr>
        <w:keepNext w:val="0"/>
        <w:keepLines w:val="0"/>
        <w:pageBreakBefore w:val="0"/>
        <w:kinsoku/>
        <w:wordWrap/>
        <w:overflowPunct/>
        <w:topLinePunct w:val="0"/>
        <w:autoSpaceDE/>
        <w:autoSpaceDN/>
        <w:bidi w:val="0"/>
        <w:adjustRightInd/>
        <w:snapToGrid w:val="0"/>
        <w:spacing w:line="560" w:lineRule="exact"/>
        <w:ind w:firstLine="562" w:firstLineChars="200"/>
        <w:textAlignment w:val="auto"/>
        <w:rPr>
          <w:rFonts w:hint="eastAsia" w:asciiTheme="majorEastAsia" w:hAnsiTheme="majorEastAsia" w:eastAsiaTheme="majorEastAsia" w:cstheme="majorEastAsia"/>
          <w:color w:val="FF0000"/>
          <w:sz w:val="28"/>
          <w:szCs w:val="28"/>
          <w:highlight w:val="none"/>
        </w:rPr>
      </w:pPr>
      <w:r>
        <w:rPr>
          <w:rFonts w:hint="eastAsia" w:asciiTheme="majorEastAsia" w:hAnsiTheme="majorEastAsia" w:eastAsiaTheme="majorEastAsia" w:cstheme="majorEastAsia"/>
          <w:b/>
          <w:bCs/>
          <w:sz w:val="28"/>
          <w:szCs w:val="28"/>
          <w:highlight w:val="none"/>
        </w:rPr>
        <w:t>5、李扬</w:t>
      </w:r>
      <w:r>
        <w:rPr>
          <w:rFonts w:hint="eastAsia" w:asciiTheme="majorEastAsia" w:hAnsiTheme="majorEastAsia" w:eastAsiaTheme="majorEastAsia" w:cstheme="majorEastAsia"/>
          <w:sz w:val="28"/>
          <w:szCs w:val="28"/>
          <w:highlight w:val="none"/>
        </w:rPr>
        <w:t>，职称</w:t>
      </w:r>
      <w:r>
        <w:rPr>
          <w:rFonts w:hint="eastAsia" w:asciiTheme="majorEastAsia" w:hAnsiTheme="majorEastAsia" w:eastAsiaTheme="majorEastAsia" w:cstheme="majorEastAsia"/>
          <w:sz w:val="28"/>
          <w:szCs w:val="28"/>
          <w:highlight w:val="none"/>
          <w:lang w:eastAsia="zh-CN"/>
        </w:rPr>
        <w:t>：</w:t>
      </w:r>
      <w:r>
        <w:rPr>
          <w:rFonts w:hint="eastAsia" w:asciiTheme="majorEastAsia" w:hAnsiTheme="majorEastAsia" w:eastAsiaTheme="majorEastAsia" w:cstheme="majorEastAsia"/>
          <w:sz w:val="28"/>
          <w:szCs w:val="28"/>
          <w:highlight w:val="none"/>
        </w:rPr>
        <w:t>助理研究员，完成单位</w:t>
      </w:r>
      <w:r>
        <w:rPr>
          <w:rFonts w:hint="eastAsia" w:asciiTheme="majorEastAsia" w:hAnsiTheme="majorEastAsia" w:eastAsiaTheme="majorEastAsia" w:cstheme="majorEastAsia"/>
          <w:sz w:val="28"/>
          <w:szCs w:val="28"/>
          <w:highlight w:val="none"/>
          <w:lang w:eastAsia="zh-CN"/>
        </w:rPr>
        <w:t>：</w:t>
      </w:r>
      <w:r>
        <w:rPr>
          <w:rFonts w:hint="eastAsia" w:asciiTheme="majorEastAsia" w:hAnsiTheme="majorEastAsia" w:eastAsiaTheme="majorEastAsia" w:cstheme="majorEastAsia"/>
          <w:sz w:val="28"/>
          <w:szCs w:val="28"/>
          <w:highlight w:val="none"/>
        </w:rPr>
        <w:t>中国科学院西双版纳热带植物园，工作单位</w:t>
      </w:r>
      <w:r>
        <w:rPr>
          <w:rFonts w:hint="eastAsia" w:asciiTheme="majorEastAsia" w:hAnsiTheme="majorEastAsia" w:eastAsiaTheme="majorEastAsia" w:cstheme="majorEastAsia"/>
          <w:sz w:val="28"/>
          <w:szCs w:val="28"/>
          <w:highlight w:val="none"/>
          <w:lang w:eastAsia="zh-CN"/>
        </w:rPr>
        <w:t>：</w:t>
      </w:r>
      <w:r>
        <w:rPr>
          <w:rFonts w:hint="eastAsia" w:asciiTheme="majorEastAsia" w:hAnsiTheme="majorEastAsia" w:eastAsiaTheme="majorEastAsia" w:cstheme="majorEastAsia"/>
          <w:sz w:val="28"/>
          <w:szCs w:val="28"/>
          <w:highlight w:val="none"/>
        </w:rPr>
        <w:t>中国科学院西双版纳热带植物园。</w:t>
      </w:r>
    </w:p>
    <w:p>
      <w:pPr>
        <w:keepNext w:val="0"/>
        <w:keepLines w:val="0"/>
        <w:pageBreakBefore w:val="0"/>
        <w:kinsoku/>
        <w:wordWrap/>
        <w:overflowPunct/>
        <w:topLinePunct w:val="0"/>
        <w:autoSpaceDE/>
        <w:autoSpaceDN/>
        <w:bidi w:val="0"/>
        <w:adjustRightInd/>
        <w:snapToGrid w:val="0"/>
        <w:spacing w:line="560" w:lineRule="exact"/>
        <w:ind w:firstLine="555"/>
        <w:textAlignment w:val="auto"/>
        <w:rPr>
          <w:rFonts w:ascii="Times New Roman" w:hAnsi="Times New Roman"/>
          <w:color w:val="FF0000"/>
          <w:sz w:val="24"/>
          <w:szCs w:val="24"/>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223"/>
    <w:rsid w:val="00012A54"/>
    <w:rsid w:val="0003564A"/>
    <w:rsid w:val="00035C88"/>
    <w:rsid w:val="0004165D"/>
    <w:rsid w:val="000418FB"/>
    <w:rsid w:val="000B33A6"/>
    <w:rsid w:val="000D32E6"/>
    <w:rsid w:val="000F6FB9"/>
    <w:rsid w:val="00101321"/>
    <w:rsid w:val="00131876"/>
    <w:rsid w:val="00181652"/>
    <w:rsid w:val="001B6164"/>
    <w:rsid w:val="001D3312"/>
    <w:rsid w:val="001F0159"/>
    <w:rsid w:val="002009A2"/>
    <w:rsid w:val="002022FB"/>
    <w:rsid w:val="00203177"/>
    <w:rsid w:val="00214544"/>
    <w:rsid w:val="0021790A"/>
    <w:rsid w:val="00223477"/>
    <w:rsid w:val="00234786"/>
    <w:rsid w:val="00240103"/>
    <w:rsid w:val="002419EB"/>
    <w:rsid w:val="002442B0"/>
    <w:rsid w:val="00252BC7"/>
    <w:rsid w:val="002727B8"/>
    <w:rsid w:val="00277152"/>
    <w:rsid w:val="002A68C5"/>
    <w:rsid w:val="002B76A0"/>
    <w:rsid w:val="002C28BF"/>
    <w:rsid w:val="002E7D1D"/>
    <w:rsid w:val="00312CFE"/>
    <w:rsid w:val="003335AB"/>
    <w:rsid w:val="003625CA"/>
    <w:rsid w:val="00381E0E"/>
    <w:rsid w:val="0038703A"/>
    <w:rsid w:val="003870E1"/>
    <w:rsid w:val="003945E3"/>
    <w:rsid w:val="003B36DC"/>
    <w:rsid w:val="003C283C"/>
    <w:rsid w:val="00402011"/>
    <w:rsid w:val="004210C5"/>
    <w:rsid w:val="004578A3"/>
    <w:rsid w:val="00462463"/>
    <w:rsid w:val="004630A0"/>
    <w:rsid w:val="004956DF"/>
    <w:rsid w:val="004974F4"/>
    <w:rsid w:val="004A0D02"/>
    <w:rsid w:val="004B164C"/>
    <w:rsid w:val="00503E99"/>
    <w:rsid w:val="00512068"/>
    <w:rsid w:val="00512074"/>
    <w:rsid w:val="005424E7"/>
    <w:rsid w:val="00547A9D"/>
    <w:rsid w:val="0055585B"/>
    <w:rsid w:val="00563214"/>
    <w:rsid w:val="00564E39"/>
    <w:rsid w:val="005B5EF6"/>
    <w:rsid w:val="005C5FF0"/>
    <w:rsid w:val="005E3ED3"/>
    <w:rsid w:val="005F19F3"/>
    <w:rsid w:val="00622205"/>
    <w:rsid w:val="00625A83"/>
    <w:rsid w:val="00625B0F"/>
    <w:rsid w:val="0063337D"/>
    <w:rsid w:val="00641CCB"/>
    <w:rsid w:val="0065514F"/>
    <w:rsid w:val="006A27E8"/>
    <w:rsid w:val="006C32A6"/>
    <w:rsid w:val="006C3E5F"/>
    <w:rsid w:val="00701166"/>
    <w:rsid w:val="00726FAC"/>
    <w:rsid w:val="00732872"/>
    <w:rsid w:val="00732D99"/>
    <w:rsid w:val="00751C06"/>
    <w:rsid w:val="00761BA8"/>
    <w:rsid w:val="007645C8"/>
    <w:rsid w:val="00783A8C"/>
    <w:rsid w:val="00794987"/>
    <w:rsid w:val="007C7515"/>
    <w:rsid w:val="007E4797"/>
    <w:rsid w:val="007E745F"/>
    <w:rsid w:val="007F6AB9"/>
    <w:rsid w:val="008100E5"/>
    <w:rsid w:val="008212EC"/>
    <w:rsid w:val="0082191F"/>
    <w:rsid w:val="00821B71"/>
    <w:rsid w:val="00821C37"/>
    <w:rsid w:val="00842DF1"/>
    <w:rsid w:val="00887455"/>
    <w:rsid w:val="008A3774"/>
    <w:rsid w:val="008B082D"/>
    <w:rsid w:val="008C76EC"/>
    <w:rsid w:val="008E75A8"/>
    <w:rsid w:val="008F19B1"/>
    <w:rsid w:val="0090328B"/>
    <w:rsid w:val="00922CF5"/>
    <w:rsid w:val="009269E3"/>
    <w:rsid w:val="009331FC"/>
    <w:rsid w:val="00996713"/>
    <w:rsid w:val="009C2649"/>
    <w:rsid w:val="009D10AC"/>
    <w:rsid w:val="009D1F63"/>
    <w:rsid w:val="009D2F0D"/>
    <w:rsid w:val="009F2918"/>
    <w:rsid w:val="00A024DF"/>
    <w:rsid w:val="00A2012C"/>
    <w:rsid w:val="00A24649"/>
    <w:rsid w:val="00A25D3F"/>
    <w:rsid w:val="00A46906"/>
    <w:rsid w:val="00A54E71"/>
    <w:rsid w:val="00A7519D"/>
    <w:rsid w:val="00A820F9"/>
    <w:rsid w:val="00AA4213"/>
    <w:rsid w:val="00B12198"/>
    <w:rsid w:val="00B20577"/>
    <w:rsid w:val="00B26E91"/>
    <w:rsid w:val="00B63BB7"/>
    <w:rsid w:val="00B863AC"/>
    <w:rsid w:val="00B86C2C"/>
    <w:rsid w:val="00BA2D1A"/>
    <w:rsid w:val="00BB55B8"/>
    <w:rsid w:val="00BC7865"/>
    <w:rsid w:val="00BD2AC2"/>
    <w:rsid w:val="00BE5ABB"/>
    <w:rsid w:val="00C254BE"/>
    <w:rsid w:val="00C7000A"/>
    <w:rsid w:val="00C87A75"/>
    <w:rsid w:val="00CD6B09"/>
    <w:rsid w:val="00CE1BA5"/>
    <w:rsid w:val="00D22FC6"/>
    <w:rsid w:val="00D26864"/>
    <w:rsid w:val="00D35223"/>
    <w:rsid w:val="00D82C3F"/>
    <w:rsid w:val="00DA1515"/>
    <w:rsid w:val="00DB089F"/>
    <w:rsid w:val="00DC360D"/>
    <w:rsid w:val="00DC636B"/>
    <w:rsid w:val="00DC7987"/>
    <w:rsid w:val="00DD686A"/>
    <w:rsid w:val="00DF1A0B"/>
    <w:rsid w:val="00E54141"/>
    <w:rsid w:val="00F27170"/>
    <w:rsid w:val="00F33A56"/>
    <w:rsid w:val="00F505EF"/>
    <w:rsid w:val="00F776BD"/>
    <w:rsid w:val="00FB2EBF"/>
    <w:rsid w:val="00FB3F12"/>
    <w:rsid w:val="12ED4021"/>
    <w:rsid w:val="1433470B"/>
    <w:rsid w:val="185A0A8C"/>
    <w:rsid w:val="1F6C0782"/>
    <w:rsid w:val="20F172F6"/>
    <w:rsid w:val="274E61F5"/>
    <w:rsid w:val="2B0D190D"/>
    <w:rsid w:val="2EB008AC"/>
    <w:rsid w:val="42CB0D23"/>
    <w:rsid w:val="546C5F24"/>
    <w:rsid w:val="576915BE"/>
    <w:rsid w:val="60C87553"/>
    <w:rsid w:val="69001A27"/>
    <w:rsid w:val="6C5724EA"/>
    <w:rsid w:val="72EB1701"/>
    <w:rsid w:val="76A22A6B"/>
    <w:rsid w:val="7759458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qFormat/>
    <w:uiPriority w:val="99"/>
    <w:pPr>
      <w:jc w:val="left"/>
    </w:pPr>
  </w:style>
  <w:style w:type="paragraph" w:styleId="3">
    <w:name w:val="Plain Text"/>
    <w:basedOn w:val="1"/>
    <w:link w:val="21"/>
    <w:qFormat/>
    <w:uiPriority w:val="0"/>
    <w:pPr>
      <w:spacing w:line="360" w:lineRule="auto"/>
      <w:ind w:firstLine="480" w:firstLineChars="200"/>
    </w:pPr>
    <w:rPr>
      <w:rFonts w:ascii="仿宋_GB2312" w:hAnsi="Times New Roman"/>
      <w:sz w:val="24"/>
      <w:szCs w:val="20"/>
    </w:rPr>
  </w:style>
  <w:style w:type="paragraph" w:styleId="4">
    <w:name w:val="Balloon Text"/>
    <w:basedOn w:val="1"/>
    <w:link w:val="14"/>
    <w:semiHidden/>
    <w:qFormat/>
    <w:uiPriority w:val="99"/>
    <w:rPr>
      <w:sz w:val="18"/>
      <w:szCs w:val="18"/>
    </w:rPr>
  </w:style>
  <w:style w:type="paragraph" w:styleId="5">
    <w:name w:val="footer"/>
    <w:basedOn w:val="1"/>
    <w:link w:val="16"/>
    <w:semiHidden/>
    <w:qFormat/>
    <w:uiPriority w:val="99"/>
    <w:pPr>
      <w:tabs>
        <w:tab w:val="center" w:pos="4153"/>
        <w:tab w:val="right" w:pos="8306"/>
      </w:tabs>
      <w:snapToGrid w:val="0"/>
      <w:jc w:val="left"/>
    </w:pPr>
    <w:rPr>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8">
    <w:name w:val="Title"/>
    <w:basedOn w:val="1"/>
    <w:next w:val="1"/>
    <w:link w:val="22"/>
    <w:qFormat/>
    <w:locked/>
    <w:uiPriority w:val="0"/>
    <w:pPr>
      <w:spacing w:before="240" w:after="60"/>
      <w:jc w:val="center"/>
      <w:outlineLvl w:val="0"/>
    </w:pPr>
    <w:rPr>
      <w:rFonts w:asciiTheme="majorHAnsi" w:hAnsiTheme="majorHAnsi" w:eastAsiaTheme="majorEastAsia" w:cstheme="majorBidi"/>
      <w:b/>
      <w:bCs/>
      <w:sz w:val="32"/>
      <w:szCs w:val="32"/>
    </w:rPr>
  </w:style>
  <w:style w:type="table" w:styleId="10">
    <w:name w:val="Table Grid"/>
    <w:basedOn w:val="9"/>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annotation reference"/>
    <w:basedOn w:val="11"/>
    <w:semiHidden/>
    <w:qFormat/>
    <w:uiPriority w:val="99"/>
    <w:rPr>
      <w:rFonts w:cs="Times New Roman"/>
      <w:sz w:val="21"/>
      <w:szCs w:val="21"/>
    </w:rPr>
  </w:style>
  <w:style w:type="character" w:customStyle="1" w:styleId="13">
    <w:name w:val="批注文字 字符"/>
    <w:basedOn w:val="11"/>
    <w:link w:val="2"/>
    <w:qFormat/>
    <w:locked/>
    <w:uiPriority w:val="99"/>
    <w:rPr>
      <w:rFonts w:ascii="Calibri" w:hAnsi="Calibri" w:eastAsia="宋体" w:cs="Times New Roman"/>
    </w:rPr>
  </w:style>
  <w:style w:type="character" w:customStyle="1" w:styleId="14">
    <w:name w:val="批注框文本 字符"/>
    <w:basedOn w:val="11"/>
    <w:link w:val="4"/>
    <w:semiHidden/>
    <w:qFormat/>
    <w:locked/>
    <w:uiPriority w:val="99"/>
    <w:rPr>
      <w:rFonts w:cs="Times New Roman"/>
      <w:sz w:val="18"/>
      <w:szCs w:val="18"/>
    </w:rPr>
  </w:style>
  <w:style w:type="character" w:customStyle="1" w:styleId="15">
    <w:name w:val="页眉 字符"/>
    <w:basedOn w:val="11"/>
    <w:link w:val="6"/>
    <w:semiHidden/>
    <w:qFormat/>
    <w:locked/>
    <w:uiPriority w:val="99"/>
    <w:rPr>
      <w:rFonts w:cs="Times New Roman"/>
      <w:sz w:val="18"/>
      <w:szCs w:val="18"/>
    </w:rPr>
  </w:style>
  <w:style w:type="character" w:customStyle="1" w:styleId="16">
    <w:name w:val="页脚 字符"/>
    <w:basedOn w:val="11"/>
    <w:link w:val="5"/>
    <w:semiHidden/>
    <w:qFormat/>
    <w:locked/>
    <w:uiPriority w:val="99"/>
    <w:rPr>
      <w:rFonts w:cs="Times New Roman"/>
      <w:sz w:val="18"/>
      <w:szCs w:val="18"/>
    </w:rPr>
  </w:style>
  <w:style w:type="paragraph" w:styleId="17">
    <w:name w:val="List Paragraph"/>
    <w:basedOn w:val="1"/>
    <w:qFormat/>
    <w:uiPriority w:val="99"/>
    <w:pPr>
      <w:ind w:firstLine="420" w:firstLineChars="200"/>
    </w:pPr>
  </w:style>
  <w:style w:type="character" w:customStyle="1" w:styleId="18">
    <w:name w:val="number3"/>
    <w:basedOn w:val="11"/>
    <w:qFormat/>
    <w:uiPriority w:val="99"/>
    <w:rPr>
      <w:rFonts w:cs="Times New Roman"/>
    </w:rPr>
  </w:style>
  <w:style w:type="paragraph" w:customStyle="1" w:styleId="19">
    <w:name w:val="列出段落1"/>
    <w:basedOn w:val="1"/>
    <w:qFormat/>
    <w:uiPriority w:val="99"/>
    <w:pPr>
      <w:ind w:firstLine="420" w:firstLineChars="200"/>
    </w:pPr>
    <w:rPr>
      <w:rFonts w:ascii="Times New Roman" w:hAnsi="Times New Roman"/>
      <w:szCs w:val="24"/>
    </w:rPr>
  </w:style>
  <w:style w:type="paragraph" w:customStyle="1" w:styleId="20">
    <w:name w:val="列表段落1"/>
    <w:basedOn w:val="1"/>
    <w:qFormat/>
    <w:uiPriority w:val="99"/>
    <w:pPr>
      <w:ind w:firstLine="420" w:firstLineChars="200"/>
    </w:pPr>
    <w:rPr>
      <w:rFonts w:ascii="Times New Roman" w:hAnsi="Times New Roman"/>
      <w:szCs w:val="20"/>
    </w:rPr>
  </w:style>
  <w:style w:type="character" w:customStyle="1" w:styleId="21">
    <w:name w:val="纯文本 字符"/>
    <w:basedOn w:val="11"/>
    <w:link w:val="3"/>
    <w:qFormat/>
    <w:uiPriority w:val="0"/>
    <w:rPr>
      <w:rFonts w:ascii="仿宋_GB2312"/>
      <w:kern w:val="2"/>
      <w:sz w:val="24"/>
    </w:rPr>
  </w:style>
  <w:style w:type="character" w:customStyle="1" w:styleId="22">
    <w:name w:val="标题 字符"/>
    <w:basedOn w:val="11"/>
    <w:link w:val="8"/>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507</Words>
  <Characters>2890</Characters>
  <Lines>24</Lines>
  <Paragraphs>6</Paragraphs>
  <TotalTime>1</TotalTime>
  <ScaleCrop>false</ScaleCrop>
  <LinksUpToDate>false</LinksUpToDate>
  <CharactersWithSpaces>3391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2021-05-07T01:43:00Z</dcterms:created>
  <dc:creator>unknown</dc:creator>
  <cp:lastModifiedBy>胡红</cp:lastModifiedBy>
  <dcterms:modified xsi:type="dcterms:W3CDTF">2021-05-13T06:37:01Z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